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喷枪等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17</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喷枪等LD250917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19185225091591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80" w:firstLineChars="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1</w:t>
            </w:r>
            <w:bookmarkStart w:id="0" w:name="_GoBack"/>
            <w:bookmarkEnd w:id="0"/>
            <w:r>
              <w:rPr>
                <w:rFonts w:hint="eastAsia" w:ascii="微软雅黑" w:hAnsi="微软雅黑" w:eastAsia="微软雅黑" w:cs="微软雅黑"/>
                <w:i w:val="0"/>
                <w:iCs w:val="0"/>
                <w:color w:val="000000"/>
                <w:kern w:val="0"/>
                <w:sz w:val="18"/>
                <w:szCs w:val="18"/>
                <w:highlight w:val="none"/>
                <w:u w:val="single"/>
                <w:lang w:val="en-US" w:eastAsia="zh-CN" w:bidi="ar"/>
              </w:rPr>
              <w:t>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 王工：联系方式： 13696347069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E2718"/>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22B99"/>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EA6394"/>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BC58E6"/>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7E6212"/>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014CC7"/>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426B43"/>
    <w:rsid w:val="62536695"/>
    <w:rsid w:val="625B184E"/>
    <w:rsid w:val="62776DF5"/>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776980"/>
    <w:rsid w:val="6F960F8E"/>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14</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2025-09-18T08:45:44Z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